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46D82C" w14:textId="7A325C13" w:rsidR="00A937F2" w:rsidRPr="00A937F2" w:rsidRDefault="00A937F2" w:rsidP="00D9482C">
      <w:pPr>
        <w:spacing w:after="0" w:line="480" w:lineRule="auto"/>
        <w:contextualSpacing/>
        <w:rPr>
          <w:rFonts w:ascii="Times New Roman" w:hAnsi="Times New Roman" w:cs="Times New Roman"/>
          <w:sz w:val="24"/>
          <w:szCs w:val="24"/>
        </w:rPr>
      </w:pPr>
    </w:p>
    <w:p w14:paraId="4EDD604F" w14:textId="77777777" w:rsidR="0012417D" w:rsidRDefault="0012417D" w:rsidP="00346B58">
      <w:pPr>
        <w:spacing w:after="0" w:line="480" w:lineRule="auto"/>
        <w:contextualSpacing/>
        <w:jc w:val="center"/>
        <w:rPr>
          <w:rFonts w:ascii="Times New Roman" w:hAnsi="Times New Roman" w:cs="Times New Roman"/>
          <w:b/>
          <w:sz w:val="24"/>
          <w:szCs w:val="24"/>
        </w:rPr>
      </w:pPr>
    </w:p>
    <w:p w14:paraId="1B4294C7" w14:textId="77777777" w:rsidR="0012417D" w:rsidRDefault="0012417D" w:rsidP="00346B58">
      <w:pPr>
        <w:spacing w:after="0" w:line="480" w:lineRule="auto"/>
        <w:contextualSpacing/>
        <w:jc w:val="center"/>
        <w:rPr>
          <w:rFonts w:ascii="Times New Roman" w:hAnsi="Times New Roman" w:cs="Times New Roman"/>
          <w:b/>
          <w:sz w:val="24"/>
          <w:szCs w:val="24"/>
        </w:rPr>
      </w:pPr>
    </w:p>
    <w:p w14:paraId="46FB58AC" w14:textId="77777777" w:rsidR="0012417D" w:rsidRDefault="0012417D" w:rsidP="00346B58">
      <w:pPr>
        <w:spacing w:after="0" w:line="480" w:lineRule="auto"/>
        <w:contextualSpacing/>
        <w:jc w:val="center"/>
        <w:rPr>
          <w:rFonts w:ascii="Times New Roman" w:hAnsi="Times New Roman" w:cs="Times New Roman"/>
          <w:b/>
          <w:sz w:val="24"/>
          <w:szCs w:val="24"/>
        </w:rPr>
      </w:pPr>
    </w:p>
    <w:p w14:paraId="29C3BC36" w14:textId="77777777" w:rsidR="0012417D" w:rsidRDefault="0012417D" w:rsidP="00346B58">
      <w:pPr>
        <w:spacing w:after="0" w:line="480" w:lineRule="auto"/>
        <w:contextualSpacing/>
        <w:jc w:val="center"/>
        <w:rPr>
          <w:rFonts w:ascii="Times New Roman" w:hAnsi="Times New Roman" w:cs="Times New Roman"/>
          <w:b/>
          <w:sz w:val="24"/>
          <w:szCs w:val="24"/>
        </w:rPr>
      </w:pPr>
    </w:p>
    <w:p w14:paraId="1A76CBA8" w14:textId="77777777" w:rsidR="0012417D" w:rsidRDefault="0012417D" w:rsidP="00346B58">
      <w:pPr>
        <w:spacing w:after="0" w:line="480" w:lineRule="auto"/>
        <w:contextualSpacing/>
        <w:jc w:val="center"/>
        <w:rPr>
          <w:rFonts w:ascii="Times New Roman" w:hAnsi="Times New Roman" w:cs="Times New Roman"/>
          <w:b/>
          <w:sz w:val="24"/>
          <w:szCs w:val="24"/>
        </w:rPr>
      </w:pPr>
    </w:p>
    <w:p w14:paraId="0ACAC76C" w14:textId="77777777" w:rsidR="0012417D" w:rsidRDefault="0012417D" w:rsidP="00346B58">
      <w:pPr>
        <w:spacing w:after="0" w:line="480" w:lineRule="auto"/>
        <w:contextualSpacing/>
        <w:jc w:val="center"/>
        <w:rPr>
          <w:rFonts w:ascii="Times New Roman" w:hAnsi="Times New Roman" w:cs="Times New Roman"/>
          <w:b/>
          <w:sz w:val="24"/>
          <w:szCs w:val="24"/>
        </w:rPr>
      </w:pPr>
    </w:p>
    <w:p w14:paraId="0F8D0585" w14:textId="77777777" w:rsidR="00C212CA" w:rsidRDefault="00C212CA" w:rsidP="00346B58">
      <w:pPr>
        <w:spacing w:after="0" w:line="480" w:lineRule="auto"/>
        <w:contextualSpacing/>
        <w:jc w:val="center"/>
        <w:rPr>
          <w:rFonts w:ascii="Times New Roman" w:hAnsi="Times New Roman" w:cs="Times New Roman"/>
          <w:b/>
          <w:sz w:val="44"/>
          <w:szCs w:val="44"/>
        </w:rPr>
      </w:pPr>
    </w:p>
    <w:p w14:paraId="107BCE01" w14:textId="1A116668" w:rsidR="0012417D" w:rsidRDefault="0012417D" w:rsidP="00346B58">
      <w:pPr>
        <w:spacing w:after="0" w:line="480" w:lineRule="auto"/>
        <w:contextualSpacing/>
        <w:jc w:val="center"/>
        <w:rPr>
          <w:rFonts w:ascii="Times New Roman" w:hAnsi="Times New Roman" w:cs="Times New Roman"/>
          <w:b/>
          <w:sz w:val="44"/>
          <w:szCs w:val="44"/>
        </w:rPr>
      </w:pPr>
      <w:r w:rsidRPr="0012417D">
        <w:rPr>
          <w:rFonts w:ascii="Times New Roman" w:hAnsi="Times New Roman" w:cs="Times New Roman"/>
          <w:b/>
          <w:sz w:val="44"/>
          <w:szCs w:val="44"/>
        </w:rPr>
        <w:t xml:space="preserve">Accountable-Care Organizations </w:t>
      </w:r>
    </w:p>
    <w:p w14:paraId="289254A3" w14:textId="593853E6" w:rsidR="00C212CA" w:rsidRPr="00C212CA" w:rsidRDefault="00C212CA" w:rsidP="00346B58">
      <w:pPr>
        <w:spacing w:after="0" w:line="480" w:lineRule="auto"/>
        <w:contextualSpacing/>
        <w:jc w:val="center"/>
        <w:rPr>
          <w:rFonts w:ascii="Times New Roman" w:hAnsi="Times New Roman" w:cs="Times New Roman"/>
        </w:rPr>
      </w:pPr>
      <w:r w:rsidRPr="00C212CA">
        <w:rPr>
          <w:rFonts w:ascii="Times New Roman" w:hAnsi="Times New Roman" w:cs="Times New Roman"/>
        </w:rPr>
        <w:t>By</w:t>
      </w:r>
    </w:p>
    <w:p w14:paraId="4DDFC64F" w14:textId="76505C54" w:rsidR="00A937F2" w:rsidRPr="0012417D" w:rsidRDefault="0012417D" w:rsidP="00346B58">
      <w:pPr>
        <w:spacing w:after="0" w:line="480" w:lineRule="auto"/>
        <w:contextualSpacing/>
        <w:jc w:val="center"/>
        <w:rPr>
          <w:rFonts w:ascii="Times New Roman" w:hAnsi="Times New Roman" w:cs="Times New Roman"/>
          <w:sz w:val="28"/>
          <w:szCs w:val="28"/>
        </w:rPr>
      </w:pPr>
      <w:r w:rsidRPr="0012417D">
        <w:rPr>
          <w:rFonts w:ascii="Times New Roman" w:hAnsi="Times New Roman" w:cs="Times New Roman"/>
          <w:sz w:val="28"/>
          <w:szCs w:val="28"/>
        </w:rPr>
        <w:t>Christopher Evans</w:t>
      </w:r>
      <w:r w:rsidR="0061169A" w:rsidRPr="0012417D">
        <w:rPr>
          <w:rFonts w:ascii="Times New Roman" w:hAnsi="Times New Roman" w:cs="Times New Roman"/>
          <w:sz w:val="28"/>
          <w:szCs w:val="28"/>
        </w:rPr>
        <w:br w:type="page"/>
      </w:r>
    </w:p>
    <w:p w14:paraId="1CC792A1" w14:textId="77777777" w:rsidR="00346B58" w:rsidRDefault="0061169A" w:rsidP="00346B58">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sz w:val="24"/>
          <w:szCs w:val="24"/>
        </w:rPr>
        <w:lastRenderedPageBreak/>
        <w:t>Accountable-</w:t>
      </w:r>
      <w:r w:rsidRPr="00A937F2">
        <w:rPr>
          <w:rFonts w:ascii="Times New Roman" w:hAnsi="Times New Roman" w:cs="Times New Roman"/>
          <w:sz w:val="24"/>
          <w:szCs w:val="24"/>
        </w:rPr>
        <w:t>Care Organizations</w:t>
      </w:r>
      <w:r w:rsidRPr="00B458C3">
        <w:rPr>
          <w:rFonts w:ascii="Times New Roman" w:hAnsi="Times New Roman" w:cs="Times New Roman"/>
          <w:b/>
          <w:sz w:val="24"/>
          <w:szCs w:val="24"/>
        </w:rPr>
        <w:t xml:space="preserve"> </w:t>
      </w:r>
    </w:p>
    <w:p w14:paraId="572B2AD5" w14:textId="77777777" w:rsidR="00C724AF" w:rsidRDefault="00C724AF" w:rsidP="00346B58">
      <w:pPr>
        <w:spacing w:after="0" w:line="480" w:lineRule="auto"/>
        <w:ind w:firstLine="720"/>
        <w:contextualSpacing/>
        <w:jc w:val="center"/>
        <w:rPr>
          <w:rFonts w:ascii="Times New Roman" w:hAnsi="Times New Roman" w:cs="Times New Roman"/>
          <w:b/>
          <w:sz w:val="24"/>
          <w:szCs w:val="24"/>
        </w:rPr>
      </w:pPr>
    </w:p>
    <w:p w14:paraId="2F50DA5E" w14:textId="69BEC8D3" w:rsidR="00C03CD8" w:rsidRPr="00B458C3" w:rsidRDefault="0061169A" w:rsidP="00346B58">
      <w:pPr>
        <w:spacing w:after="0" w:line="480" w:lineRule="auto"/>
        <w:ind w:firstLine="720"/>
        <w:contextualSpacing/>
        <w:jc w:val="center"/>
        <w:rPr>
          <w:rFonts w:ascii="Times New Roman" w:hAnsi="Times New Roman" w:cs="Times New Roman"/>
          <w:b/>
          <w:sz w:val="24"/>
          <w:szCs w:val="24"/>
        </w:rPr>
      </w:pPr>
      <w:r w:rsidRPr="00B458C3">
        <w:rPr>
          <w:rFonts w:ascii="Times New Roman" w:hAnsi="Times New Roman" w:cs="Times New Roman"/>
          <w:b/>
          <w:sz w:val="24"/>
          <w:szCs w:val="24"/>
        </w:rPr>
        <w:t>Introduction</w:t>
      </w:r>
    </w:p>
    <w:p w14:paraId="4BD6249C" w14:textId="7BBEA8D2" w:rsidR="009A1F5E" w:rsidRDefault="0061169A" w:rsidP="00346B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Accountable Care O</w:t>
      </w:r>
      <w:r w:rsidR="0016574C" w:rsidRPr="0016574C">
        <w:rPr>
          <w:rFonts w:ascii="Times New Roman" w:hAnsi="Times New Roman" w:cs="Times New Roman"/>
          <w:sz w:val="24"/>
          <w:szCs w:val="24"/>
        </w:rPr>
        <w:t>rganizations (ACOs) are health organizations that comprise a group of health professions who come together to prod</w:t>
      </w:r>
      <w:r>
        <w:rPr>
          <w:rFonts w:ascii="Times New Roman" w:hAnsi="Times New Roman" w:cs="Times New Roman"/>
          <w:sz w:val="24"/>
          <w:szCs w:val="24"/>
        </w:rPr>
        <w:t>uce coordinated healthcare. These organizations often</w:t>
      </w:r>
      <w:r w:rsidR="0016574C" w:rsidRPr="0016574C">
        <w:rPr>
          <w:rFonts w:ascii="Times New Roman" w:hAnsi="Times New Roman" w:cs="Times New Roman"/>
          <w:sz w:val="24"/>
          <w:szCs w:val="24"/>
        </w:rPr>
        <w:t xml:space="preserve"> focus on improving healthcare quality and minimizing expenditure by e</w:t>
      </w:r>
      <w:r w:rsidR="00BD549A">
        <w:rPr>
          <w:rFonts w:ascii="Times New Roman" w:hAnsi="Times New Roman" w:cs="Times New Roman"/>
          <w:sz w:val="24"/>
          <w:szCs w:val="24"/>
        </w:rPr>
        <w:t>liminating</w:t>
      </w:r>
      <w:r w:rsidR="0016574C" w:rsidRPr="0016574C">
        <w:rPr>
          <w:rFonts w:ascii="Times New Roman" w:hAnsi="Times New Roman" w:cs="Times New Roman"/>
          <w:sz w:val="24"/>
          <w:szCs w:val="24"/>
        </w:rPr>
        <w:t xml:space="preserve"> unnecessary duplication of medical services and reducing medical errors. The organizations were </w:t>
      </w:r>
      <w:bookmarkStart w:id="0" w:name="_GoBack"/>
      <w:bookmarkEnd w:id="0"/>
      <w:r w:rsidR="0016574C" w:rsidRPr="0016574C">
        <w:rPr>
          <w:rFonts w:ascii="Times New Roman" w:hAnsi="Times New Roman" w:cs="Times New Roman"/>
          <w:sz w:val="24"/>
          <w:szCs w:val="24"/>
        </w:rPr>
        <w:t xml:space="preserve">established in the US after their </w:t>
      </w:r>
      <w:r w:rsidR="00B83815">
        <w:rPr>
          <w:rFonts w:ascii="Times New Roman" w:hAnsi="Times New Roman" w:cs="Times New Roman"/>
          <w:sz w:val="24"/>
          <w:szCs w:val="24"/>
        </w:rPr>
        <w:t>fair share of success in Europe and now</w:t>
      </w:r>
      <w:r w:rsidR="0016574C">
        <w:rPr>
          <w:rFonts w:ascii="Times New Roman" w:hAnsi="Times New Roman" w:cs="Times New Roman"/>
          <w:sz w:val="24"/>
          <w:szCs w:val="24"/>
        </w:rPr>
        <w:t xml:space="preserve"> </w:t>
      </w:r>
      <w:r w:rsidR="00B83815">
        <w:rPr>
          <w:rFonts w:ascii="Times New Roman" w:hAnsi="Times New Roman" w:cs="Times New Roman"/>
          <w:sz w:val="24"/>
          <w:szCs w:val="24"/>
        </w:rPr>
        <w:t>they</w:t>
      </w:r>
      <w:r w:rsidR="0016574C">
        <w:rPr>
          <w:rFonts w:ascii="Times New Roman" w:hAnsi="Times New Roman" w:cs="Times New Roman"/>
          <w:sz w:val="24"/>
          <w:szCs w:val="24"/>
        </w:rPr>
        <w:t xml:space="preserve"> enjoy support from both private and public health insurers</w:t>
      </w:r>
      <w:r w:rsidR="00B83815">
        <w:rPr>
          <w:rFonts w:ascii="Times New Roman" w:hAnsi="Times New Roman" w:cs="Times New Roman"/>
          <w:sz w:val="24"/>
          <w:szCs w:val="24"/>
        </w:rPr>
        <w:t xml:space="preserve">. The affordable care act has been lobbying for the formation of </w:t>
      </w:r>
      <w:r>
        <w:rPr>
          <w:rFonts w:ascii="Times New Roman" w:hAnsi="Times New Roman" w:cs="Times New Roman"/>
          <w:sz w:val="24"/>
          <w:szCs w:val="24"/>
        </w:rPr>
        <w:t>these organizations</w:t>
      </w:r>
      <w:r w:rsidR="00B83815">
        <w:rPr>
          <w:rFonts w:ascii="Times New Roman" w:hAnsi="Times New Roman" w:cs="Times New Roman"/>
          <w:sz w:val="24"/>
          <w:szCs w:val="24"/>
        </w:rPr>
        <w:t xml:space="preserve"> as part of its strategy to foster universal heal</w:t>
      </w:r>
      <w:r w:rsidR="00916CEE">
        <w:rPr>
          <w:rFonts w:ascii="Times New Roman" w:hAnsi="Times New Roman" w:cs="Times New Roman"/>
          <w:sz w:val="24"/>
          <w:szCs w:val="24"/>
        </w:rPr>
        <w:t>th coverage in America</w:t>
      </w:r>
      <w:r w:rsidR="00650728">
        <w:rPr>
          <w:rFonts w:ascii="Times New Roman" w:hAnsi="Times New Roman" w:cs="Times New Roman"/>
          <w:sz w:val="24"/>
          <w:szCs w:val="24"/>
        </w:rPr>
        <w:t>. They majorly operate in cosmopolitan areas and are sponsored by physic</w:t>
      </w:r>
      <w:r w:rsidR="008238B9">
        <w:rPr>
          <w:rFonts w:ascii="Times New Roman" w:hAnsi="Times New Roman" w:cs="Times New Roman"/>
          <w:sz w:val="24"/>
          <w:szCs w:val="24"/>
        </w:rPr>
        <w:t>ian-</w:t>
      </w:r>
      <w:r w:rsidR="00650728">
        <w:rPr>
          <w:rFonts w:ascii="Times New Roman" w:hAnsi="Times New Roman" w:cs="Times New Roman"/>
          <w:sz w:val="24"/>
          <w:szCs w:val="24"/>
        </w:rPr>
        <w:t xml:space="preserve">led associations. By </w:t>
      </w:r>
      <w:r w:rsidR="00B458C3">
        <w:rPr>
          <w:rFonts w:ascii="Times New Roman" w:hAnsi="Times New Roman" w:cs="Times New Roman"/>
          <w:sz w:val="24"/>
          <w:szCs w:val="24"/>
        </w:rPr>
        <w:t xml:space="preserve">2013, </w:t>
      </w:r>
      <w:r w:rsidR="00650728">
        <w:rPr>
          <w:rFonts w:ascii="Times New Roman" w:hAnsi="Times New Roman" w:cs="Times New Roman"/>
          <w:sz w:val="24"/>
          <w:szCs w:val="24"/>
        </w:rPr>
        <w:t xml:space="preserve">there </w:t>
      </w:r>
      <w:r w:rsidR="00B458C3">
        <w:rPr>
          <w:rFonts w:ascii="Times New Roman" w:hAnsi="Times New Roman" w:cs="Times New Roman"/>
          <w:sz w:val="24"/>
          <w:szCs w:val="24"/>
        </w:rPr>
        <w:t xml:space="preserve">were </w:t>
      </w:r>
      <w:r w:rsidR="00650728">
        <w:rPr>
          <w:rFonts w:ascii="Times New Roman" w:hAnsi="Times New Roman" w:cs="Times New Roman"/>
          <w:sz w:val="24"/>
          <w:szCs w:val="24"/>
        </w:rPr>
        <w:t>more than 300 ACOs in the US serving about 15% of the Medicare recipients</w:t>
      </w:r>
      <w:sdt>
        <w:sdtPr>
          <w:rPr>
            <w:rFonts w:ascii="Times New Roman" w:hAnsi="Times New Roman" w:cs="Times New Roman"/>
            <w:sz w:val="24"/>
            <w:szCs w:val="24"/>
          </w:rPr>
          <w:id w:val="199212357"/>
          <w:citation/>
        </w:sdtPr>
        <w:sdtEndPr/>
        <w:sdtContent>
          <w:r w:rsidR="004702A2">
            <w:rPr>
              <w:rFonts w:ascii="Times New Roman" w:hAnsi="Times New Roman" w:cs="Times New Roman"/>
              <w:sz w:val="24"/>
              <w:szCs w:val="24"/>
            </w:rPr>
            <w:fldChar w:fldCharType="begin"/>
          </w:r>
          <w:r w:rsidR="004702A2">
            <w:rPr>
              <w:rFonts w:ascii="Times New Roman" w:hAnsi="Times New Roman" w:cs="Times New Roman"/>
              <w:sz w:val="24"/>
              <w:szCs w:val="24"/>
            </w:rPr>
            <w:instrText xml:space="preserve"> CITATION Kel15 \l 1033 </w:instrText>
          </w:r>
          <w:r w:rsidR="004702A2">
            <w:rPr>
              <w:rFonts w:ascii="Times New Roman" w:hAnsi="Times New Roman" w:cs="Times New Roman"/>
              <w:sz w:val="24"/>
              <w:szCs w:val="24"/>
            </w:rPr>
            <w:fldChar w:fldCharType="separate"/>
          </w:r>
          <w:r w:rsidR="004702A2">
            <w:rPr>
              <w:rFonts w:ascii="Times New Roman" w:hAnsi="Times New Roman" w:cs="Times New Roman"/>
              <w:noProof/>
              <w:sz w:val="24"/>
              <w:szCs w:val="24"/>
            </w:rPr>
            <w:t xml:space="preserve"> </w:t>
          </w:r>
          <w:r w:rsidR="004702A2" w:rsidRPr="004702A2">
            <w:rPr>
              <w:rFonts w:ascii="Times New Roman" w:hAnsi="Times New Roman" w:cs="Times New Roman"/>
              <w:noProof/>
              <w:sz w:val="24"/>
              <w:szCs w:val="24"/>
            </w:rPr>
            <w:t>(Kelleher, 2015)</w:t>
          </w:r>
          <w:r w:rsidR="004702A2">
            <w:rPr>
              <w:rFonts w:ascii="Times New Roman" w:hAnsi="Times New Roman" w:cs="Times New Roman"/>
              <w:sz w:val="24"/>
              <w:szCs w:val="24"/>
            </w:rPr>
            <w:fldChar w:fldCharType="end"/>
          </w:r>
        </w:sdtContent>
      </w:sdt>
      <w:r w:rsidR="00C03CD8">
        <w:rPr>
          <w:rFonts w:ascii="Times New Roman" w:hAnsi="Times New Roman" w:cs="Times New Roman"/>
          <w:sz w:val="24"/>
          <w:szCs w:val="24"/>
        </w:rPr>
        <w:t>.</w:t>
      </w:r>
      <w:r w:rsidR="004702A2">
        <w:rPr>
          <w:rFonts w:ascii="Times New Roman" w:hAnsi="Times New Roman" w:cs="Times New Roman"/>
          <w:sz w:val="24"/>
          <w:szCs w:val="24"/>
        </w:rPr>
        <w:t xml:space="preserve"> Thus, </w:t>
      </w:r>
      <w:r w:rsidR="008238B9">
        <w:rPr>
          <w:rFonts w:ascii="Times New Roman" w:hAnsi="Times New Roman" w:cs="Times New Roman"/>
          <w:sz w:val="24"/>
          <w:szCs w:val="24"/>
        </w:rPr>
        <w:t>these organizations have gained</w:t>
      </w:r>
      <w:r w:rsidR="004702A2">
        <w:rPr>
          <w:rFonts w:ascii="Times New Roman" w:hAnsi="Times New Roman" w:cs="Times New Roman"/>
          <w:sz w:val="24"/>
          <w:szCs w:val="24"/>
        </w:rPr>
        <w:t xml:space="preserve"> crucial mileage in their operations in America.</w:t>
      </w:r>
      <w:r>
        <w:rPr>
          <w:rFonts w:ascii="Times New Roman" w:hAnsi="Times New Roman" w:cs="Times New Roman"/>
          <w:sz w:val="24"/>
          <w:szCs w:val="24"/>
        </w:rPr>
        <w:t xml:space="preserve"> The purpose of this research paper is to explore and investigate the issues concerning the Accountable Care Organizations, the solution to such concerns and the active role of the government in Health Care policy Enactment.  </w:t>
      </w:r>
    </w:p>
    <w:p w14:paraId="7147540E" w14:textId="77777777" w:rsidR="009A1F5E" w:rsidRDefault="0061169A" w:rsidP="00346B58">
      <w:pPr>
        <w:spacing w:after="0" w:line="480" w:lineRule="auto"/>
        <w:ind w:firstLine="720"/>
        <w:contextualSpacing/>
        <w:jc w:val="center"/>
        <w:rPr>
          <w:rFonts w:ascii="Times New Roman" w:hAnsi="Times New Roman" w:cs="Times New Roman"/>
          <w:b/>
          <w:sz w:val="24"/>
          <w:szCs w:val="24"/>
        </w:rPr>
      </w:pPr>
      <w:r w:rsidRPr="009A1F5E">
        <w:rPr>
          <w:rFonts w:ascii="Times New Roman" w:hAnsi="Times New Roman" w:cs="Times New Roman"/>
          <w:b/>
          <w:sz w:val="24"/>
          <w:szCs w:val="24"/>
        </w:rPr>
        <w:t>ACOs</w:t>
      </w:r>
      <w:r w:rsidR="00346B58">
        <w:rPr>
          <w:rFonts w:ascii="Times New Roman" w:hAnsi="Times New Roman" w:cs="Times New Roman"/>
          <w:b/>
          <w:sz w:val="24"/>
          <w:szCs w:val="24"/>
        </w:rPr>
        <w:t xml:space="preserve"> Issues of Concern </w:t>
      </w:r>
    </w:p>
    <w:p w14:paraId="58707FB1" w14:textId="77777777" w:rsidR="009A1F5E" w:rsidRDefault="0061169A" w:rsidP="00346B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Ideally, ACOs operate under integrated systems that incorporate all the health providers’ one group. This consolidation supports a monopolistic hold of the health industry giving ACOs a hand in price determination and possible inflation of the cost of healthcare. Another challenge with ACOs is the incentives at their disposal.</w:t>
      </w:r>
      <w:r w:rsidR="00E15518">
        <w:rPr>
          <w:rFonts w:ascii="Times New Roman" w:hAnsi="Times New Roman" w:cs="Times New Roman"/>
          <w:sz w:val="24"/>
          <w:szCs w:val="24"/>
        </w:rPr>
        <w:t xml:space="preserve"> </w:t>
      </w:r>
      <w:r>
        <w:rPr>
          <w:rFonts w:ascii="Times New Roman" w:hAnsi="Times New Roman" w:cs="Times New Roman"/>
          <w:sz w:val="24"/>
          <w:szCs w:val="24"/>
        </w:rPr>
        <w:t xml:space="preserve">According to Berenson (2015), </w:t>
      </w:r>
      <w:r w:rsidR="00C8649F">
        <w:rPr>
          <w:rFonts w:ascii="Times New Roman" w:hAnsi="Times New Roman" w:cs="Times New Roman"/>
          <w:sz w:val="24"/>
          <w:szCs w:val="24"/>
        </w:rPr>
        <w:t xml:space="preserve">such incentive allows </w:t>
      </w:r>
      <w:r w:rsidR="002C2457">
        <w:rPr>
          <w:rFonts w:ascii="Times New Roman" w:hAnsi="Times New Roman" w:cs="Times New Roman"/>
          <w:sz w:val="24"/>
          <w:szCs w:val="24"/>
        </w:rPr>
        <w:t>ACOs</w:t>
      </w:r>
      <w:r w:rsidR="00E15518">
        <w:rPr>
          <w:rFonts w:ascii="Times New Roman" w:hAnsi="Times New Roman" w:cs="Times New Roman"/>
          <w:sz w:val="24"/>
          <w:szCs w:val="24"/>
        </w:rPr>
        <w:t xml:space="preserve"> </w:t>
      </w:r>
      <w:r w:rsidR="00C8649F">
        <w:rPr>
          <w:rFonts w:ascii="Times New Roman" w:hAnsi="Times New Roman" w:cs="Times New Roman"/>
          <w:sz w:val="24"/>
          <w:szCs w:val="24"/>
        </w:rPr>
        <w:t xml:space="preserve">to </w:t>
      </w:r>
      <w:r w:rsidR="00E15518">
        <w:rPr>
          <w:rFonts w:ascii="Times New Roman" w:hAnsi="Times New Roman" w:cs="Times New Roman"/>
          <w:sz w:val="24"/>
          <w:szCs w:val="24"/>
        </w:rPr>
        <w:t xml:space="preserve">exert unnecessary </w:t>
      </w:r>
      <w:r w:rsidR="002C2457">
        <w:rPr>
          <w:rFonts w:ascii="Times New Roman" w:hAnsi="Times New Roman" w:cs="Times New Roman"/>
          <w:sz w:val="24"/>
          <w:szCs w:val="24"/>
        </w:rPr>
        <w:t>pressure on</w:t>
      </w:r>
      <w:r w:rsidR="00E15518">
        <w:rPr>
          <w:rFonts w:ascii="Times New Roman" w:hAnsi="Times New Roman" w:cs="Times New Roman"/>
          <w:sz w:val="24"/>
          <w:szCs w:val="24"/>
        </w:rPr>
        <w:t xml:space="preserve"> the health service providers </w:t>
      </w:r>
      <w:r w:rsidR="00C8649F">
        <w:rPr>
          <w:rFonts w:ascii="Times New Roman" w:hAnsi="Times New Roman" w:cs="Times New Roman"/>
          <w:sz w:val="24"/>
          <w:szCs w:val="24"/>
        </w:rPr>
        <w:t>and as a consequence compromise</w:t>
      </w:r>
      <w:r w:rsidR="00E15518">
        <w:rPr>
          <w:rFonts w:ascii="Times New Roman" w:hAnsi="Times New Roman" w:cs="Times New Roman"/>
          <w:sz w:val="24"/>
          <w:szCs w:val="24"/>
        </w:rPr>
        <w:t xml:space="preserve"> the quality of health outcomes.</w:t>
      </w:r>
    </w:p>
    <w:p w14:paraId="4D1D78BC" w14:textId="77777777" w:rsidR="0051634B" w:rsidRDefault="0051634B" w:rsidP="00346B58">
      <w:pPr>
        <w:spacing w:after="0" w:line="480" w:lineRule="auto"/>
        <w:ind w:firstLine="720"/>
        <w:contextualSpacing/>
        <w:jc w:val="center"/>
        <w:rPr>
          <w:rFonts w:ascii="Times New Roman" w:hAnsi="Times New Roman" w:cs="Times New Roman"/>
          <w:b/>
          <w:sz w:val="24"/>
          <w:szCs w:val="24"/>
        </w:rPr>
      </w:pPr>
    </w:p>
    <w:p w14:paraId="6EDF84A3" w14:textId="7DAF675E" w:rsidR="00EB35B8" w:rsidRDefault="0061169A" w:rsidP="00346B58">
      <w:pPr>
        <w:spacing w:after="0" w:line="480" w:lineRule="auto"/>
        <w:ind w:firstLine="720"/>
        <w:contextualSpacing/>
        <w:jc w:val="center"/>
        <w:rPr>
          <w:rFonts w:ascii="Times New Roman" w:hAnsi="Times New Roman" w:cs="Times New Roman"/>
          <w:b/>
          <w:sz w:val="24"/>
          <w:szCs w:val="24"/>
        </w:rPr>
      </w:pPr>
      <w:r w:rsidRPr="00EB35B8">
        <w:rPr>
          <w:rFonts w:ascii="Times New Roman" w:hAnsi="Times New Roman" w:cs="Times New Roman"/>
          <w:b/>
          <w:sz w:val="24"/>
          <w:szCs w:val="24"/>
        </w:rPr>
        <w:t>Solutions</w:t>
      </w:r>
    </w:p>
    <w:p w14:paraId="0FF04B2B" w14:textId="5D55FF98" w:rsidR="00EB35B8" w:rsidRDefault="0061169A" w:rsidP="00346B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level monopolistic dominance and incentive challenge, the federal government should act to generate policies that will block any probable monopolistic pricing </w:t>
      </w:r>
      <w:r w:rsidR="001707D9">
        <w:rPr>
          <w:rFonts w:ascii="Times New Roman" w:hAnsi="Times New Roman" w:cs="Times New Roman"/>
          <w:sz w:val="24"/>
          <w:szCs w:val="24"/>
        </w:rPr>
        <w:t xml:space="preserve">of health care. </w:t>
      </w:r>
      <w:r w:rsidR="00C61A7B">
        <w:rPr>
          <w:rFonts w:ascii="Times New Roman" w:hAnsi="Times New Roman" w:cs="Times New Roman"/>
          <w:sz w:val="24"/>
          <w:szCs w:val="24"/>
        </w:rPr>
        <w:t>Such policies should highlight a ceiling price beyond which providers cannot levy</w:t>
      </w:r>
      <w:r w:rsidR="00C2668E">
        <w:rPr>
          <w:rFonts w:ascii="Times New Roman" w:hAnsi="Times New Roman" w:cs="Times New Roman"/>
          <w:sz w:val="24"/>
          <w:szCs w:val="24"/>
        </w:rPr>
        <w:t xml:space="preserve"> (</w:t>
      </w:r>
      <w:r w:rsidR="00C2668E" w:rsidRPr="008925C8">
        <w:rPr>
          <w:rFonts w:ascii="Times New Roman" w:hAnsi="Times New Roman" w:cs="Times New Roman"/>
          <w:noProof/>
          <w:sz w:val="24"/>
          <w:szCs w:val="24"/>
        </w:rPr>
        <w:t>Kelleher,</w:t>
      </w:r>
      <w:r w:rsidR="00C2668E">
        <w:rPr>
          <w:rFonts w:ascii="Times New Roman" w:hAnsi="Times New Roman" w:cs="Times New Roman"/>
          <w:noProof/>
          <w:sz w:val="24"/>
          <w:szCs w:val="24"/>
        </w:rPr>
        <w:t xml:space="preserve"> 2015</w:t>
      </w:r>
      <w:r w:rsidR="00C2668E">
        <w:rPr>
          <w:rFonts w:ascii="Times New Roman" w:hAnsi="Times New Roman" w:cs="Times New Roman"/>
          <w:sz w:val="24"/>
          <w:szCs w:val="24"/>
        </w:rPr>
        <w:t>)</w:t>
      </w:r>
      <w:r w:rsidR="00C61A7B">
        <w:rPr>
          <w:rFonts w:ascii="Times New Roman" w:hAnsi="Times New Roman" w:cs="Times New Roman"/>
          <w:sz w:val="24"/>
          <w:szCs w:val="24"/>
        </w:rPr>
        <w:t xml:space="preserve">. The federal </w:t>
      </w:r>
      <w:r>
        <w:rPr>
          <w:rFonts w:ascii="Times New Roman" w:hAnsi="Times New Roman" w:cs="Times New Roman"/>
          <w:sz w:val="24"/>
          <w:szCs w:val="24"/>
        </w:rPr>
        <w:t xml:space="preserve">government and the relevant legislative bodies </w:t>
      </w:r>
      <w:r w:rsidR="00C61A7B">
        <w:rPr>
          <w:rFonts w:ascii="Times New Roman" w:hAnsi="Times New Roman" w:cs="Times New Roman"/>
          <w:sz w:val="24"/>
          <w:szCs w:val="24"/>
        </w:rPr>
        <w:t xml:space="preserve">can also </w:t>
      </w:r>
      <w:r w:rsidR="00B63A73">
        <w:rPr>
          <w:rFonts w:ascii="Times New Roman" w:hAnsi="Times New Roman" w:cs="Times New Roman"/>
          <w:sz w:val="24"/>
          <w:szCs w:val="24"/>
        </w:rPr>
        <w:t>handle</w:t>
      </w:r>
      <w:r w:rsidR="00C61A7B">
        <w:rPr>
          <w:rFonts w:ascii="Times New Roman" w:hAnsi="Times New Roman" w:cs="Times New Roman"/>
          <w:sz w:val="24"/>
          <w:szCs w:val="24"/>
        </w:rPr>
        <w:t xml:space="preserve"> this challenge by instituting an independent regulatory body to control and oversee pricing dynamics in the healthcare </w:t>
      </w:r>
      <w:r w:rsidR="00B63A73">
        <w:rPr>
          <w:rFonts w:ascii="Times New Roman" w:hAnsi="Times New Roman" w:cs="Times New Roman"/>
          <w:sz w:val="24"/>
          <w:szCs w:val="24"/>
        </w:rPr>
        <w:t>sector</w:t>
      </w:r>
      <w:sdt>
        <w:sdtPr>
          <w:rPr>
            <w:rFonts w:ascii="Times New Roman" w:hAnsi="Times New Roman" w:cs="Times New Roman"/>
            <w:sz w:val="24"/>
            <w:szCs w:val="24"/>
          </w:rPr>
          <w:id w:val="199212361"/>
          <w:citation/>
        </w:sdtPr>
        <w:sdtEndPr/>
        <w:sdtContent>
          <w:r w:rsidR="00B90DB7">
            <w:rPr>
              <w:rFonts w:ascii="Times New Roman" w:hAnsi="Times New Roman" w:cs="Times New Roman"/>
              <w:sz w:val="24"/>
              <w:szCs w:val="24"/>
            </w:rPr>
            <w:fldChar w:fldCharType="begin"/>
          </w:r>
          <w:r w:rsidR="00B90DB7">
            <w:rPr>
              <w:rFonts w:ascii="Times New Roman" w:hAnsi="Times New Roman" w:cs="Times New Roman"/>
              <w:sz w:val="24"/>
              <w:szCs w:val="24"/>
            </w:rPr>
            <w:instrText xml:space="preserve"> CITATION Rob15 \l 1033 </w:instrText>
          </w:r>
          <w:r w:rsidR="00B90DB7">
            <w:rPr>
              <w:rFonts w:ascii="Times New Roman" w:hAnsi="Times New Roman" w:cs="Times New Roman"/>
              <w:sz w:val="24"/>
              <w:szCs w:val="24"/>
            </w:rPr>
            <w:fldChar w:fldCharType="separate"/>
          </w:r>
          <w:r w:rsidR="00B90DB7">
            <w:rPr>
              <w:rFonts w:ascii="Times New Roman" w:hAnsi="Times New Roman" w:cs="Times New Roman"/>
              <w:noProof/>
              <w:sz w:val="24"/>
              <w:szCs w:val="24"/>
            </w:rPr>
            <w:t xml:space="preserve"> </w:t>
          </w:r>
          <w:r w:rsidR="00B90DB7" w:rsidRPr="00B90DB7">
            <w:rPr>
              <w:rFonts w:ascii="Times New Roman" w:hAnsi="Times New Roman" w:cs="Times New Roman"/>
              <w:noProof/>
              <w:sz w:val="24"/>
              <w:szCs w:val="24"/>
            </w:rPr>
            <w:t>(Robertson, 2015)</w:t>
          </w:r>
          <w:r w:rsidR="00B90DB7">
            <w:rPr>
              <w:rFonts w:ascii="Times New Roman" w:hAnsi="Times New Roman" w:cs="Times New Roman"/>
              <w:sz w:val="24"/>
              <w:szCs w:val="24"/>
            </w:rPr>
            <w:fldChar w:fldCharType="end"/>
          </w:r>
        </w:sdtContent>
      </w:sdt>
      <w:r w:rsidR="00C61A7B">
        <w:rPr>
          <w:rFonts w:ascii="Times New Roman" w:hAnsi="Times New Roman" w:cs="Times New Roman"/>
          <w:sz w:val="24"/>
          <w:szCs w:val="24"/>
        </w:rPr>
        <w:t>.</w:t>
      </w:r>
      <w:r w:rsidR="00CA1166">
        <w:rPr>
          <w:rFonts w:ascii="Times New Roman" w:hAnsi="Times New Roman" w:cs="Times New Roman"/>
          <w:sz w:val="24"/>
          <w:szCs w:val="24"/>
        </w:rPr>
        <w:t xml:space="preserve"> The more appropriate solution to the ACOs threat is drafting the price cap </w:t>
      </w:r>
      <w:r>
        <w:rPr>
          <w:rFonts w:ascii="Times New Roman" w:hAnsi="Times New Roman" w:cs="Times New Roman"/>
          <w:sz w:val="24"/>
          <w:szCs w:val="24"/>
        </w:rPr>
        <w:t>policy that would ensure the governments can easily control and monitor pricing.</w:t>
      </w:r>
    </w:p>
    <w:p w14:paraId="10805E1B" w14:textId="14C676BE" w:rsidR="00DA5348" w:rsidRDefault="00FE4A65" w:rsidP="00346B5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61169A">
        <w:rPr>
          <w:rFonts w:ascii="Times New Roman" w:hAnsi="Times New Roman" w:cs="Times New Roman"/>
          <w:sz w:val="24"/>
          <w:szCs w:val="24"/>
        </w:rPr>
        <w:t>he federal government should formulate the policy by following the relevant management chambers and include the ACOs in the policy formulation.</w:t>
      </w:r>
      <w:r w:rsidR="004069A9">
        <w:rPr>
          <w:rFonts w:ascii="Times New Roman" w:hAnsi="Times New Roman" w:cs="Times New Roman"/>
          <w:sz w:val="24"/>
          <w:szCs w:val="24"/>
        </w:rPr>
        <w:t xml:space="preserve"> It should also involve the state and the local governments to ensure quality improvement programs are put in place to ensure the public will not be in the losing end when the price cap policy is enacted</w:t>
      </w:r>
      <w:r w:rsidR="00C2668E">
        <w:rPr>
          <w:rFonts w:ascii="Times New Roman" w:hAnsi="Times New Roman" w:cs="Times New Roman"/>
          <w:sz w:val="24"/>
          <w:szCs w:val="24"/>
        </w:rPr>
        <w:t xml:space="preserve"> (Wilson, 2018)</w:t>
      </w:r>
      <w:r w:rsidR="004069A9">
        <w:rPr>
          <w:rFonts w:ascii="Times New Roman" w:hAnsi="Times New Roman" w:cs="Times New Roman"/>
          <w:sz w:val="24"/>
          <w:szCs w:val="24"/>
        </w:rPr>
        <w:t>.</w:t>
      </w:r>
    </w:p>
    <w:p w14:paraId="27A6EF1A" w14:textId="77777777" w:rsidR="00FD56CD" w:rsidRDefault="00AA0345" w:rsidP="00C8649F">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The Government and </w:t>
      </w:r>
      <w:r w:rsidR="0061169A" w:rsidRPr="00FD56CD">
        <w:rPr>
          <w:rFonts w:ascii="Times New Roman" w:hAnsi="Times New Roman" w:cs="Times New Roman"/>
          <w:b/>
          <w:sz w:val="24"/>
          <w:szCs w:val="24"/>
        </w:rPr>
        <w:t xml:space="preserve">Healthcare </w:t>
      </w:r>
      <w:r>
        <w:rPr>
          <w:rFonts w:ascii="Times New Roman" w:hAnsi="Times New Roman" w:cs="Times New Roman"/>
          <w:b/>
          <w:sz w:val="24"/>
          <w:szCs w:val="24"/>
        </w:rPr>
        <w:t xml:space="preserve">Policy </w:t>
      </w:r>
    </w:p>
    <w:p w14:paraId="4A2F8240" w14:textId="77777777" w:rsidR="00C71E66" w:rsidRDefault="0061169A" w:rsidP="00C8649F">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establishment of any federal policy, each of the three branches</w:t>
      </w:r>
      <w:r w:rsidR="002C2457">
        <w:rPr>
          <w:rFonts w:ascii="Times New Roman" w:hAnsi="Times New Roman" w:cs="Times New Roman"/>
          <w:sz w:val="24"/>
          <w:szCs w:val="24"/>
        </w:rPr>
        <w:t xml:space="preserve"> of the federal government has</w:t>
      </w:r>
      <w:r>
        <w:rPr>
          <w:rFonts w:ascii="Times New Roman" w:hAnsi="Times New Roman" w:cs="Times New Roman"/>
          <w:sz w:val="24"/>
          <w:szCs w:val="24"/>
        </w:rPr>
        <w:t xml:space="preserve"> a role to play. These include:</w:t>
      </w:r>
    </w:p>
    <w:p w14:paraId="1BA4A7DF" w14:textId="77777777" w:rsidR="00C71E66" w:rsidRDefault="0061169A" w:rsidP="00C71E66">
      <w:pPr>
        <w:pStyle w:val="ListParagraph"/>
        <w:numPr>
          <w:ilvl w:val="0"/>
          <w:numId w:val="1"/>
        </w:numPr>
        <w:spacing w:line="480" w:lineRule="auto"/>
        <w:rPr>
          <w:rFonts w:ascii="Times New Roman" w:hAnsi="Times New Roman" w:cs="Times New Roman"/>
          <w:sz w:val="24"/>
          <w:szCs w:val="24"/>
        </w:rPr>
      </w:pPr>
      <w:r w:rsidRPr="00C71E66">
        <w:rPr>
          <w:rFonts w:ascii="Times New Roman" w:hAnsi="Times New Roman" w:cs="Times New Roman"/>
          <w:sz w:val="24"/>
          <w:szCs w:val="24"/>
        </w:rPr>
        <w:t>The legislature</w:t>
      </w:r>
      <w:r>
        <w:rPr>
          <w:rFonts w:ascii="Times New Roman" w:hAnsi="Times New Roman" w:cs="Times New Roman"/>
          <w:sz w:val="24"/>
          <w:szCs w:val="24"/>
        </w:rPr>
        <w:t>-formulate policies and laws</w:t>
      </w:r>
    </w:p>
    <w:p w14:paraId="16C8C897" w14:textId="77777777" w:rsidR="00C71E66" w:rsidRDefault="0061169A" w:rsidP="00C71E6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executive- enact and put the laws into practice</w:t>
      </w:r>
    </w:p>
    <w:p w14:paraId="2FC413A3" w14:textId="77777777" w:rsidR="00C71E66" w:rsidRDefault="0061169A" w:rsidP="00C71E6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judiciary-evaluates the legal implications of the laws</w:t>
      </w:r>
    </w:p>
    <w:p w14:paraId="10321255" w14:textId="77777777" w:rsidR="00C71E66" w:rsidRDefault="0061169A" w:rsidP="00C8649F">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The legislature comprise</w:t>
      </w:r>
      <w:r w:rsidR="002C2457">
        <w:rPr>
          <w:rFonts w:ascii="Times New Roman" w:hAnsi="Times New Roman" w:cs="Times New Roman"/>
          <w:sz w:val="24"/>
          <w:szCs w:val="24"/>
        </w:rPr>
        <w:t>s</w:t>
      </w:r>
      <w:r>
        <w:rPr>
          <w:rFonts w:ascii="Times New Roman" w:hAnsi="Times New Roman" w:cs="Times New Roman"/>
          <w:sz w:val="24"/>
          <w:szCs w:val="24"/>
        </w:rPr>
        <w:t xml:space="preserve"> of </w:t>
      </w:r>
      <w:r w:rsidR="00C2668E">
        <w:rPr>
          <w:rFonts w:ascii="Times New Roman" w:hAnsi="Times New Roman" w:cs="Times New Roman"/>
          <w:sz w:val="24"/>
          <w:szCs w:val="24"/>
        </w:rPr>
        <w:t xml:space="preserve">the Congress, </w:t>
      </w:r>
      <w:r w:rsidR="008238B9">
        <w:rPr>
          <w:rFonts w:ascii="Times New Roman" w:hAnsi="Times New Roman" w:cs="Times New Roman"/>
          <w:sz w:val="24"/>
          <w:szCs w:val="24"/>
        </w:rPr>
        <w:t>the S</w:t>
      </w:r>
      <w:r>
        <w:rPr>
          <w:rFonts w:ascii="Times New Roman" w:hAnsi="Times New Roman" w:cs="Times New Roman"/>
          <w:sz w:val="24"/>
          <w:szCs w:val="24"/>
        </w:rPr>
        <w:t xml:space="preserve">enate and the </w:t>
      </w:r>
      <w:r w:rsidR="00C8649F">
        <w:rPr>
          <w:rFonts w:ascii="Times New Roman" w:hAnsi="Times New Roman" w:cs="Times New Roman"/>
          <w:sz w:val="24"/>
          <w:szCs w:val="24"/>
        </w:rPr>
        <w:t>House of Representatives</w:t>
      </w:r>
      <w:r w:rsidR="00C2668E">
        <w:rPr>
          <w:rFonts w:ascii="Times New Roman" w:hAnsi="Times New Roman" w:cs="Times New Roman"/>
          <w:sz w:val="24"/>
          <w:szCs w:val="24"/>
        </w:rPr>
        <w:t xml:space="preserve">. The Congress is the </w:t>
      </w:r>
      <w:r>
        <w:rPr>
          <w:rFonts w:ascii="Times New Roman" w:hAnsi="Times New Roman" w:cs="Times New Roman"/>
          <w:sz w:val="24"/>
          <w:szCs w:val="24"/>
        </w:rPr>
        <w:t xml:space="preserve">authoritative federal arm that draft and debate legislation with the help of human </w:t>
      </w:r>
      <w:r>
        <w:rPr>
          <w:rFonts w:ascii="Times New Roman" w:hAnsi="Times New Roman" w:cs="Times New Roman"/>
          <w:sz w:val="24"/>
          <w:szCs w:val="24"/>
        </w:rPr>
        <w:lastRenderedPageBreak/>
        <w:t xml:space="preserve">rights organizations. </w:t>
      </w:r>
      <w:r w:rsidR="00C2668E">
        <w:rPr>
          <w:rFonts w:ascii="Times New Roman" w:hAnsi="Times New Roman" w:cs="Times New Roman"/>
          <w:sz w:val="24"/>
          <w:szCs w:val="24"/>
        </w:rPr>
        <w:t xml:space="preserve">The Congress can make </w:t>
      </w:r>
      <w:r>
        <w:rPr>
          <w:rFonts w:ascii="Times New Roman" w:hAnsi="Times New Roman" w:cs="Times New Roman"/>
          <w:sz w:val="24"/>
          <w:szCs w:val="24"/>
        </w:rPr>
        <w:t xml:space="preserve">appropriate objections regarding what ought to be added or omitted in the policy </w:t>
      </w:r>
      <w:r w:rsidR="00916CEE">
        <w:rPr>
          <w:rFonts w:ascii="Times New Roman" w:hAnsi="Times New Roman" w:cs="Times New Roman"/>
          <w:sz w:val="24"/>
          <w:szCs w:val="24"/>
        </w:rPr>
        <w:t>draft. The</w:t>
      </w:r>
      <w:r>
        <w:rPr>
          <w:rFonts w:ascii="Times New Roman" w:hAnsi="Times New Roman" w:cs="Times New Roman"/>
          <w:sz w:val="24"/>
          <w:szCs w:val="24"/>
        </w:rPr>
        <w:t xml:space="preserve"> executive is the highest authority in the U</w:t>
      </w:r>
      <w:r w:rsidR="002C2457">
        <w:rPr>
          <w:rFonts w:ascii="Times New Roman" w:hAnsi="Times New Roman" w:cs="Times New Roman"/>
          <w:sz w:val="24"/>
          <w:szCs w:val="24"/>
        </w:rPr>
        <w:t xml:space="preserve">S and it upholds </w:t>
      </w:r>
      <w:r w:rsidR="00C8649F">
        <w:rPr>
          <w:rFonts w:ascii="Times New Roman" w:hAnsi="Times New Roman" w:cs="Times New Roman"/>
          <w:sz w:val="24"/>
          <w:szCs w:val="24"/>
        </w:rPr>
        <w:t>legislation</w:t>
      </w:r>
      <w:r w:rsidR="002C2457">
        <w:rPr>
          <w:rFonts w:ascii="Times New Roman" w:hAnsi="Times New Roman" w:cs="Times New Roman"/>
          <w:sz w:val="24"/>
          <w:szCs w:val="24"/>
        </w:rPr>
        <w:t xml:space="preserve"> </w:t>
      </w:r>
      <w:r>
        <w:rPr>
          <w:rFonts w:ascii="Times New Roman" w:hAnsi="Times New Roman" w:cs="Times New Roman"/>
          <w:sz w:val="24"/>
          <w:szCs w:val="24"/>
        </w:rPr>
        <w:t>and put it into law</w:t>
      </w:r>
      <w:sdt>
        <w:sdtPr>
          <w:rPr>
            <w:rFonts w:ascii="Times New Roman" w:hAnsi="Times New Roman" w:cs="Times New Roman"/>
            <w:sz w:val="24"/>
            <w:szCs w:val="24"/>
          </w:rPr>
          <w:id w:val="199212362"/>
          <w:citation/>
        </w:sdtPr>
        <w:sdtEndPr/>
        <w:sdtContent>
          <w:r w:rsidR="00740B76">
            <w:rPr>
              <w:rFonts w:ascii="Times New Roman" w:hAnsi="Times New Roman" w:cs="Times New Roman"/>
              <w:sz w:val="24"/>
              <w:szCs w:val="24"/>
            </w:rPr>
            <w:fldChar w:fldCharType="begin"/>
          </w:r>
          <w:r w:rsidR="00740B76">
            <w:rPr>
              <w:rFonts w:ascii="Times New Roman" w:hAnsi="Times New Roman" w:cs="Times New Roman"/>
              <w:sz w:val="24"/>
              <w:szCs w:val="24"/>
            </w:rPr>
            <w:instrText xml:space="preserve"> CITATION Wil18 \l 1033 </w:instrText>
          </w:r>
          <w:r w:rsidR="00740B76">
            <w:rPr>
              <w:rFonts w:ascii="Times New Roman" w:hAnsi="Times New Roman" w:cs="Times New Roman"/>
              <w:sz w:val="24"/>
              <w:szCs w:val="24"/>
            </w:rPr>
            <w:fldChar w:fldCharType="separate"/>
          </w:r>
          <w:r w:rsidR="00740B76">
            <w:rPr>
              <w:rFonts w:ascii="Times New Roman" w:hAnsi="Times New Roman" w:cs="Times New Roman"/>
              <w:noProof/>
              <w:sz w:val="24"/>
              <w:szCs w:val="24"/>
            </w:rPr>
            <w:t xml:space="preserve"> </w:t>
          </w:r>
          <w:r w:rsidR="00740B76" w:rsidRPr="00740B76">
            <w:rPr>
              <w:rFonts w:ascii="Times New Roman" w:hAnsi="Times New Roman" w:cs="Times New Roman"/>
              <w:noProof/>
              <w:sz w:val="24"/>
              <w:szCs w:val="24"/>
            </w:rPr>
            <w:t>(Wilson, 2018)</w:t>
          </w:r>
          <w:r w:rsidR="00740B76">
            <w:rPr>
              <w:rFonts w:ascii="Times New Roman" w:hAnsi="Times New Roman" w:cs="Times New Roman"/>
              <w:sz w:val="24"/>
              <w:szCs w:val="24"/>
            </w:rPr>
            <w:fldChar w:fldCharType="end"/>
          </w:r>
        </w:sdtContent>
      </w:sdt>
      <w:r>
        <w:rPr>
          <w:rFonts w:ascii="Times New Roman" w:hAnsi="Times New Roman" w:cs="Times New Roman"/>
          <w:sz w:val="24"/>
          <w:szCs w:val="24"/>
        </w:rPr>
        <w:t xml:space="preserve">. It is </w:t>
      </w:r>
      <w:r w:rsidR="00C2668E">
        <w:rPr>
          <w:rFonts w:ascii="Times New Roman" w:hAnsi="Times New Roman" w:cs="Times New Roman"/>
          <w:sz w:val="24"/>
          <w:szCs w:val="24"/>
        </w:rPr>
        <w:t>led by the P</w:t>
      </w:r>
      <w:r w:rsidR="0071037F">
        <w:rPr>
          <w:rFonts w:ascii="Times New Roman" w:hAnsi="Times New Roman" w:cs="Times New Roman"/>
          <w:sz w:val="24"/>
          <w:szCs w:val="24"/>
        </w:rPr>
        <w:t>resident as the head and the ultimate signatory of laws and budgets.</w:t>
      </w:r>
      <w:r w:rsidR="00B738CD">
        <w:rPr>
          <w:rFonts w:ascii="Times New Roman" w:hAnsi="Times New Roman" w:cs="Times New Roman"/>
          <w:sz w:val="24"/>
          <w:szCs w:val="24"/>
        </w:rPr>
        <w:t xml:space="preserve"> </w:t>
      </w:r>
      <w:r w:rsidR="0071037F">
        <w:rPr>
          <w:rFonts w:ascii="Times New Roman" w:hAnsi="Times New Roman" w:cs="Times New Roman"/>
          <w:sz w:val="24"/>
          <w:szCs w:val="24"/>
        </w:rPr>
        <w:t>Thus</w:t>
      </w:r>
      <w:r w:rsidR="00E805E1">
        <w:rPr>
          <w:rFonts w:ascii="Times New Roman" w:hAnsi="Times New Roman" w:cs="Times New Roman"/>
          <w:sz w:val="24"/>
          <w:szCs w:val="24"/>
        </w:rPr>
        <w:t>,</w:t>
      </w:r>
      <w:r w:rsidR="0071037F">
        <w:rPr>
          <w:rFonts w:ascii="Times New Roman" w:hAnsi="Times New Roman" w:cs="Times New Roman"/>
          <w:sz w:val="24"/>
          <w:szCs w:val="24"/>
        </w:rPr>
        <w:t xml:space="preserve"> it is a crucial branch in the healthcare policy enactment and financing of the subsequent execution process.</w:t>
      </w:r>
      <w:r w:rsidR="00916CEE">
        <w:rPr>
          <w:rFonts w:ascii="Times New Roman" w:hAnsi="Times New Roman" w:cs="Times New Roman"/>
          <w:sz w:val="24"/>
          <w:szCs w:val="24"/>
        </w:rPr>
        <w:t xml:space="preserve"> The judiciary is the legal branch that is tasked with interpreting the law and filling any inconclusive law.</w:t>
      </w:r>
    </w:p>
    <w:p w14:paraId="6BF6109B" w14:textId="77777777" w:rsidR="00C8649F" w:rsidRPr="00C2668E" w:rsidRDefault="0061169A" w:rsidP="00C8649F">
      <w:pPr>
        <w:spacing w:after="0" w:line="480" w:lineRule="auto"/>
        <w:contextualSpacing/>
        <w:jc w:val="center"/>
        <w:rPr>
          <w:rFonts w:ascii="Times New Roman" w:hAnsi="Times New Roman" w:cs="Times New Roman"/>
          <w:b/>
          <w:sz w:val="24"/>
          <w:szCs w:val="24"/>
        </w:rPr>
      </w:pPr>
      <w:r w:rsidRPr="00C2668E">
        <w:rPr>
          <w:rFonts w:ascii="Times New Roman" w:hAnsi="Times New Roman" w:cs="Times New Roman"/>
          <w:b/>
          <w:sz w:val="24"/>
          <w:szCs w:val="24"/>
        </w:rPr>
        <w:t>Conclusion</w:t>
      </w:r>
    </w:p>
    <w:p w14:paraId="59E80052" w14:textId="08BFF1E7" w:rsidR="008925C8" w:rsidRDefault="0061169A" w:rsidP="00C8649F">
      <w:pPr>
        <w:spacing w:after="0"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Consolidation</w:t>
      </w:r>
      <w:r w:rsidR="00C8649F">
        <w:rPr>
          <w:rFonts w:ascii="Times New Roman" w:hAnsi="Times New Roman" w:cs="Times New Roman"/>
          <w:sz w:val="24"/>
          <w:szCs w:val="24"/>
        </w:rPr>
        <w:t xml:space="preserve"> of ACOs promotes monopolistic pricing and unregulated incentives. These two concerns can have a serious effect on the overall health care provider due to unfair competition for both patients and healthcare workers. </w:t>
      </w:r>
      <w:r>
        <w:rPr>
          <w:rFonts w:ascii="Times New Roman" w:hAnsi="Times New Roman" w:cs="Times New Roman"/>
          <w:sz w:val="24"/>
          <w:szCs w:val="24"/>
        </w:rPr>
        <w:t>The government and other relevant bodies should enact</w:t>
      </w:r>
      <w:r w:rsidR="00B8353A">
        <w:rPr>
          <w:rFonts w:ascii="Times New Roman" w:hAnsi="Times New Roman" w:cs="Times New Roman"/>
          <w:sz w:val="24"/>
          <w:szCs w:val="24"/>
        </w:rPr>
        <w:t xml:space="preserve"> a policy regarding the regulation o</w:t>
      </w:r>
      <w:r w:rsidR="009252E8">
        <w:rPr>
          <w:rFonts w:ascii="Times New Roman" w:hAnsi="Times New Roman" w:cs="Times New Roman"/>
          <w:sz w:val="24"/>
          <w:szCs w:val="24"/>
        </w:rPr>
        <w:t xml:space="preserve">f ACOs operations and pricing </w:t>
      </w:r>
      <w:r>
        <w:rPr>
          <w:rFonts w:ascii="Times New Roman" w:hAnsi="Times New Roman" w:cs="Times New Roman"/>
          <w:sz w:val="24"/>
          <w:szCs w:val="24"/>
        </w:rPr>
        <w:t>to alleviate such problems.</w:t>
      </w:r>
    </w:p>
    <w:p w14:paraId="346126ED" w14:textId="77777777" w:rsidR="008925C8" w:rsidRDefault="0061169A" w:rsidP="00C8649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0E1F2379" w14:textId="77777777" w:rsidR="00B8353A" w:rsidRDefault="0061169A" w:rsidP="008925C8">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5BA09679" w14:textId="77777777" w:rsidR="008925C8" w:rsidRPr="008925C8" w:rsidRDefault="0061169A" w:rsidP="008925C8">
      <w:pPr>
        <w:pStyle w:val="Bibliography"/>
        <w:ind w:left="720" w:hanging="720"/>
        <w:rPr>
          <w:rFonts w:ascii="Times New Roman" w:hAnsi="Times New Roman" w:cs="Times New Roman"/>
          <w:noProof/>
          <w:sz w:val="24"/>
          <w:szCs w:val="24"/>
        </w:rPr>
      </w:pPr>
      <w:r w:rsidRPr="008925C8">
        <w:rPr>
          <w:rFonts w:ascii="Times New Roman" w:hAnsi="Times New Roman" w:cs="Times New Roman"/>
          <w:sz w:val="24"/>
          <w:szCs w:val="24"/>
        </w:rPr>
        <w:fldChar w:fldCharType="begin"/>
      </w:r>
      <w:r w:rsidRPr="008925C8">
        <w:rPr>
          <w:rFonts w:ascii="Times New Roman" w:hAnsi="Times New Roman" w:cs="Times New Roman"/>
          <w:sz w:val="24"/>
          <w:szCs w:val="24"/>
        </w:rPr>
        <w:instrText xml:space="preserve"> BIBLIOGRAPHY  \l 1033 </w:instrText>
      </w:r>
      <w:r w:rsidRPr="008925C8">
        <w:rPr>
          <w:rFonts w:ascii="Times New Roman" w:hAnsi="Times New Roman" w:cs="Times New Roman"/>
          <w:sz w:val="24"/>
          <w:szCs w:val="24"/>
        </w:rPr>
        <w:fldChar w:fldCharType="separate"/>
      </w:r>
      <w:r w:rsidRPr="008925C8">
        <w:rPr>
          <w:rFonts w:ascii="Times New Roman" w:hAnsi="Times New Roman" w:cs="Times New Roman"/>
          <w:noProof/>
          <w:sz w:val="24"/>
          <w:szCs w:val="24"/>
        </w:rPr>
        <w:t xml:space="preserve">Berenson, R. (2015). Addressing Pricing Power in Integrated Delivery: The Limits of Antitrust. </w:t>
      </w:r>
      <w:r w:rsidRPr="008925C8">
        <w:rPr>
          <w:rFonts w:ascii="Times New Roman" w:hAnsi="Times New Roman" w:cs="Times New Roman"/>
          <w:i/>
          <w:iCs/>
          <w:noProof/>
          <w:sz w:val="24"/>
          <w:szCs w:val="24"/>
        </w:rPr>
        <w:t>Journal of Health Politics, Policy and Law, 40</w:t>
      </w:r>
      <w:r w:rsidRPr="008925C8">
        <w:rPr>
          <w:rFonts w:ascii="Times New Roman" w:hAnsi="Times New Roman" w:cs="Times New Roman"/>
          <w:noProof/>
          <w:sz w:val="24"/>
          <w:szCs w:val="24"/>
        </w:rPr>
        <w:t xml:space="preserve"> (4), 711-744.</w:t>
      </w:r>
    </w:p>
    <w:p w14:paraId="3AB97EAB" w14:textId="77777777" w:rsidR="008925C8" w:rsidRPr="008925C8" w:rsidRDefault="0061169A" w:rsidP="008925C8">
      <w:pPr>
        <w:pStyle w:val="Bibliography"/>
        <w:ind w:left="720" w:hanging="720"/>
        <w:rPr>
          <w:rFonts w:ascii="Times New Roman" w:hAnsi="Times New Roman" w:cs="Times New Roman"/>
          <w:noProof/>
          <w:sz w:val="24"/>
          <w:szCs w:val="24"/>
        </w:rPr>
      </w:pPr>
      <w:r w:rsidRPr="008925C8">
        <w:rPr>
          <w:rFonts w:ascii="Times New Roman" w:hAnsi="Times New Roman" w:cs="Times New Roman"/>
          <w:noProof/>
          <w:sz w:val="24"/>
          <w:szCs w:val="24"/>
        </w:rPr>
        <w:t xml:space="preserve">Kelleher, K. J. (2015). Cost saving and quality of care in a pediatric accountable care organization. </w:t>
      </w:r>
      <w:r w:rsidRPr="008925C8">
        <w:rPr>
          <w:rFonts w:ascii="Times New Roman" w:hAnsi="Times New Roman" w:cs="Times New Roman"/>
          <w:i/>
          <w:iCs/>
          <w:noProof/>
          <w:sz w:val="24"/>
          <w:szCs w:val="24"/>
        </w:rPr>
        <w:t>Paediatrics</w:t>
      </w:r>
      <w:r w:rsidRPr="008925C8">
        <w:rPr>
          <w:rFonts w:ascii="Times New Roman" w:hAnsi="Times New Roman" w:cs="Times New Roman"/>
          <w:noProof/>
          <w:sz w:val="24"/>
          <w:szCs w:val="24"/>
        </w:rPr>
        <w:t>.</w:t>
      </w:r>
    </w:p>
    <w:p w14:paraId="793D305F" w14:textId="77777777" w:rsidR="008925C8" w:rsidRPr="008925C8" w:rsidRDefault="0061169A" w:rsidP="008925C8">
      <w:pPr>
        <w:pStyle w:val="Bibliography"/>
        <w:ind w:left="720" w:hanging="720"/>
        <w:rPr>
          <w:rFonts w:ascii="Times New Roman" w:hAnsi="Times New Roman" w:cs="Times New Roman"/>
          <w:noProof/>
          <w:sz w:val="24"/>
          <w:szCs w:val="24"/>
        </w:rPr>
      </w:pPr>
      <w:r w:rsidRPr="008925C8">
        <w:rPr>
          <w:rFonts w:ascii="Times New Roman" w:hAnsi="Times New Roman" w:cs="Times New Roman"/>
          <w:noProof/>
          <w:sz w:val="24"/>
          <w:szCs w:val="24"/>
        </w:rPr>
        <w:t xml:space="preserve">Robertson, C. T. (2015). Scaling Cost-Sharing to Wages: How Employers Can Reduce Health Spending and Provide Greater Economic Security. </w:t>
      </w:r>
      <w:r w:rsidRPr="008925C8">
        <w:rPr>
          <w:rFonts w:ascii="Times New Roman" w:hAnsi="Times New Roman" w:cs="Times New Roman"/>
          <w:i/>
          <w:iCs/>
          <w:noProof/>
          <w:sz w:val="24"/>
          <w:szCs w:val="24"/>
        </w:rPr>
        <w:t>Yale Journal of Health Policy, Law, and Ethics, 14</w:t>
      </w:r>
      <w:r w:rsidRPr="008925C8">
        <w:rPr>
          <w:rFonts w:ascii="Times New Roman" w:hAnsi="Times New Roman" w:cs="Times New Roman"/>
          <w:noProof/>
          <w:sz w:val="24"/>
          <w:szCs w:val="24"/>
        </w:rPr>
        <w:t xml:space="preserve"> (2), 1.</w:t>
      </w:r>
    </w:p>
    <w:p w14:paraId="3B75ACF0" w14:textId="77777777" w:rsidR="008925C8" w:rsidRPr="008925C8" w:rsidRDefault="0061169A" w:rsidP="008925C8">
      <w:pPr>
        <w:pStyle w:val="Bibliography"/>
        <w:ind w:left="720" w:hanging="720"/>
        <w:rPr>
          <w:rFonts w:ascii="Times New Roman" w:hAnsi="Times New Roman" w:cs="Times New Roman"/>
          <w:noProof/>
          <w:sz w:val="24"/>
          <w:szCs w:val="24"/>
        </w:rPr>
      </w:pPr>
      <w:r w:rsidRPr="008925C8">
        <w:rPr>
          <w:rFonts w:ascii="Times New Roman" w:hAnsi="Times New Roman" w:cs="Times New Roman"/>
          <w:noProof/>
          <w:sz w:val="24"/>
          <w:szCs w:val="24"/>
        </w:rPr>
        <w:t xml:space="preserve">Wilson, J. Q. (2018). </w:t>
      </w:r>
      <w:r w:rsidRPr="008925C8">
        <w:rPr>
          <w:rFonts w:ascii="Times New Roman" w:hAnsi="Times New Roman" w:cs="Times New Roman"/>
          <w:i/>
          <w:iCs/>
          <w:noProof/>
          <w:sz w:val="24"/>
          <w:szCs w:val="24"/>
        </w:rPr>
        <w:t>American government: Institutions and policies.</w:t>
      </w:r>
      <w:r w:rsidRPr="008925C8">
        <w:rPr>
          <w:rFonts w:ascii="Times New Roman" w:hAnsi="Times New Roman" w:cs="Times New Roman"/>
          <w:noProof/>
          <w:sz w:val="24"/>
          <w:szCs w:val="24"/>
        </w:rPr>
        <w:t xml:space="preserve"> Cengage Learning.</w:t>
      </w:r>
    </w:p>
    <w:p w14:paraId="2C7859EA" w14:textId="77777777" w:rsidR="008925C8" w:rsidRPr="008925C8" w:rsidRDefault="0061169A" w:rsidP="008925C8">
      <w:pPr>
        <w:spacing w:line="480" w:lineRule="auto"/>
        <w:ind w:left="720" w:hanging="720"/>
        <w:rPr>
          <w:rFonts w:ascii="Times New Roman" w:hAnsi="Times New Roman" w:cs="Times New Roman"/>
          <w:sz w:val="24"/>
          <w:szCs w:val="24"/>
        </w:rPr>
      </w:pPr>
      <w:r w:rsidRPr="008925C8">
        <w:rPr>
          <w:rFonts w:ascii="Times New Roman" w:hAnsi="Times New Roman" w:cs="Times New Roman"/>
          <w:sz w:val="24"/>
          <w:szCs w:val="24"/>
        </w:rPr>
        <w:fldChar w:fldCharType="end"/>
      </w:r>
    </w:p>
    <w:p w14:paraId="201E40F9" w14:textId="77777777" w:rsidR="00DA5348" w:rsidRPr="008925C8" w:rsidRDefault="00DA5348" w:rsidP="008925C8">
      <w:pPr>
        <w:spacing w:line="480" w:lineRule="auto"/>
        <w:ind w:left="720" w:hanging="720"/>
        <w:rPr>
          <w:rFonts w:ascii="Times New Roman" w:hAnsi="Times New Roman" w:cs="Times New Roman"/>
          <w:sz w:val="24"/>
          <w:szCs w:val="24"/>
        </w:rPr>
      </w:pPr>
    </w:p>
    <w:sectPr w:rsidR="00DA5348" w:rsidRPr="008925C8" w:rsidSect="00A937F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52437" w14:textId="77777777" w:rsidR="008B36D4" w:rsidRDefault="008B36D4">
      <w:pPr>
        <w:spacing w:after="0" w:line="240" w:lineRule="auto"/>
      </w:pPr>
      <w:r>
        <w:separator/>
      </w:r>
    </w:p>
  </w:endnote>
  <w:endnote w:type="continuationSeparator" w:id="0">
    <w:p w14:paraId="739E4D8A" w14:textId="77777777" w:rsidR="008B36D4" w:rsidRDefault="008B3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9CB4B9" w14:textId="77777777" w:rsidR="008B36D4" w:rsidRDefault="008B36D4">
      <w:pPr>
        <w:spacing w:after="0" w:line="240" w:lineRule="auto"/>
      </w:pPr>
      <w:r>
        <w:separator/>
      </w:r>
    </w:p>
  </w:footnote>
  <w:footnote w:type="continuationSeparator" w:id="0">
    <w:p w14:paraId="376988A0" w14:textId="77777777" w:rsidR="008B36D4" w:rsidRDefault="008B36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8B55A5"/>
    <w:multiLevelType w:val="hybridMultilevel"/>
    <w:tmpl w:val="DEF4BE68"/>
    <w:lvl w:ilvl="0" w:tplc="60F2B02C">
      <w:start w:val="1"/>
      <w:numFmt w:val="bullet"/>
      <w:lvlText w:val=""/>
      <w:lvlJc w:val="left"/>
      <w:pPr>
        <w:ind w:left="720" w:hanging="360"/>
      </w:pPr>
      <w:rPr>
        <w:rFonts w:ascii="Symbol" w:hAnsi="Symbol" w:hint="default"/>
      </w:rPr>
    </w:lvl>
    <w:lvl w:ilvl="1" w:tplc="3030F5D0" w:tentative="1">
      <w:start w:val="1"/>
      <w:numFmt w:val="bullet"/>
      <w:lvlText w:val="o"/>
      <w:lvlJc w:val="left"/>
      <w:pPr>
        <w:ind w:left="1440" w:hanging="360"/>
      </w:pPr>
      <w:rPr>
        <w:rFonts w:ascii="Courier New" w:hAnsi="Courier New" w:cs="Courier New" w:hint="default"/>
      </w:rPr>
    </w:lvl>
    <w:lvl w:ilvl="2" w:tplc="D7487224" w:tentative="1">
      <w:start w:val="1"/>
      <w:numFmt w:val="bullet"/>
      <w:lvlText w:val=""/>
      <w:lvlJc w:val="left"/>
      <w:pPr>
        <w:ind w:left="2160" w:hanging="360"/>
      </w:pPr>
      <w:rPr>
        <w:rFonts w:ascii="Wingdings" w:hAnsi="Wingdings" w:hint="default"/>
      </w:rPr>
    </w:lvl>
    <w:lvl w:ilvl="3" w:tplc="6346E06C" w:tentative="1">
      <w:start w:val="1"/>
      <w:numFmt w:val="bullet"/>
      <w:lvlText w:val=""/>
      <w:lvlJc w:val="left"/>
      <w:pPr>
        <w:ind w:left="2880" w:hanging="360"/>
      </w:pPr>
      <w:rPr>
        <w:rFonts w:ascii="Symbol" w:hAnsi="Symbol" w:hint="default"/>
      </w:rPr>
    </w:lvl>
    <w:lvl w:ilvl="4" w:tplc="130AEF22" w:tentative="1">
      <w:start w:val="1"/>
      <w:numFmt w:val="bullet"/>
      <w:lvlText w:val="o"/>
      <w:lvlJc w:val="left"/>
      <w:pPr>
        <w:ind w:left="3600" w:hanging="360"/>
      </w:pPr>
      <w:rPr>
        <w:rFonts w:ascii="Courier New" w:hAnsi="Courier New" w:cs="Courier New" w:hint="default"/>
      </w:rPr>
    </w:lvl>
    <w:lvl w:ilvl="5" w:tplc="821E4498" w:tentative="1">
      <w:start w:val="1"/>
      <w:numFmt w:val="bullet"/>
      <w:lvlText w:val=""/>
      <w:lvlJc w:val="left"/>
      <w:pPr>
        <w:ind w:left="4320" w:hanging="360"/>
      </w:pPr>
      <w:rPr>
        <w:rFonts w:ascii="Wingdings" w:hAnsi="Wingdings" w:hint="default"/>
      </w:rPr>
    </w:lvl>
    <w:lvl w:ilvl="6" w:tplc="CA0A8ECC" w:tentative="1">
      <w:start w:val="1"/>
      <w:numFmt w:val="bullet"/>
      <w:lvlText w:val=""/>
      <w:lvlJc w:val="left"/>
      <w:pPr>
        <w:ind w:left="5040" w:hanging="360"/>
      </w:pPr>
      <w:rPr>
        <w:rFonts w:ascii="Symbol" w:hAnsi="Symbol" w:hint="default"/>
      </w:rPr>
    </w:lvl>
    <w:lvl w:ilvl="7" w:tplc="ABB6E428" w:tentative="1">
      <w:start w:val="1"/>
      <w:numFmt w:val="bullet"/>
      <w:lvlText w:val="o"/>
      <w:lvlJc w:val="left"/>
      <w:pPr>
        <w:ind w:left="5760" w:hanging="360"/>
      </w:pPr>
      <w:rPr>
        <w:rFonts w:ascii="Courier New" w:hAnsi="Courier New" w:cs="Courier New" w:hint="default"/>
      </w:rPr>
    </w:lvl>
    <w:lvl w:ilvl="8" w:tplc="5350A9F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Iws7C0NDYEAVNjJR2l4NTi4sz8PJACo1oAE5d/lCwAAAA="/>
  </w:docVars>
  <w:rsids>
    <w:rsidRoot w:val="0016574C"/>
    <w:rsid w:val="000D2BFE"/>
    <w:rsid w:val="0010286D"/>
    <w:rsid w:val="00117A75"/>
    <w:rsid w:val="0012417D"/>
    <w:rsid w:val="0016574C"/>
    <w:rsid w:val="001707D9"/>
    <w:rsid w:val="00265676"/>
    <w:rsid w:val="00292CDD"/>
    <w:rsid w:val="002C2457"/>
    <w:rsid w:val="00346B58"/>
    <w:rsid w:val="003B7A01"/>
    <w:rsid w:val="004069A9"/>
    <w:rsid w:val="004702A2"/>
    <w:rsid w:val="00475E2C"/>
    <w:rsid w:val="0051634B"/>
    <w:rsid w:val="005808A3"/>
    <w:rsid w:val="0061169A"/>
    <w:rsid w:val="00650728"/>
    <w:rsid w:val="0071037F"/>
    <w:rsid w:val="00740B76"/>
    <w:rsid w:val="007A4DEC"/>
    <w:rsid w:val="008238B9"/>
    <w:rsid w:val="008925C8"/>
    <w:rsid w:val="008B36D4"/>
    <w:rsid w:val="00916CEE"/>
    <w:rsid w:val="009252E8"/>
    <w:rsid w:val="009A1F5E"/>
    <w:rsid w:val="009F03EB"/>
    <w:rsid w:val="00A937F2"/>
    <w:rsid w:val="00A97D75"/>
    <w:rsid w:val="00AA0345"/>
    <w:rsid w:val="00B458C3"/>
    <w:rsid w:val="00B63A73"/>
    <w:rsid w:val="00B738CD"/>
    <w:rsid w:val="00B8353A"/>
    <w:rsid w:val="00B83815"/>
    <w:rsid w:val="00B90DB7"/>
    <w:rsid w:val="00B95112"/>
    <w:rsid w:val="00BB0A4C"/>
    <w:rsid w:val="00BD549A"/>
    <w:rsid w:val="00C03CD8"/>
    <w:rsid w:val="00C212CA"/>
    <w:rsid w:val="00C2668E"/>
    <w:rsid w:val="00C61A7B"/>
    <w:rsid w:val="00C71E66"/>
    <w:rsid w:val="00C724AF"/>
    <w:rsid w:val="00C8649F"/>
    <w:rsid w:val="00CA1166"/>
    <w:rsid w:val="00D5628C"/>
    <w:rsid w:val="00D77090"/>
    <w:rsid w:val="00D9482C"/>
    <w:rsid w:val="00DA5348"/>
    <w:rsid w:val="00E15518"/>
    <w:rsid w:val="00E805E1"/>
    <w:rsid w:val="00EB35B8"/>
    <w:rsid w:val="00FD56CD"/>
    <w:rsid w:val="00FE4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80D30"/>
  <w15:docId w15:val="{B2BC7884-1CBA-456D-AD86-51936644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E66"/>
    <w:pPr>
      <w:ind w:left="720"/>
      <w:contextualSpacing/>
    </w:pPr>
  </w:style>
  <w:style w:type="paragraph" w:styleId="BalloonText">
    <w:name w:val="Balloon Text"/>
    <w:basedOn w:val="Normal"/>
    <w:link w:val="BalloonTextChar"/>
    <w:uiPriority w:val="99"/>
    <w:semiHidden/>
    <w:unhideWhenUsed/>
    <w:rsid w:val="004702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02A2"/>
    <w:rPr>
      <w:rFonts w:ascii="Tahoma" w:hAnsi="Tahoma" w:cs="Tahoma"/>
      <w:sz w:val="16"/>
      <w:szCs w:val="16"/>
    </w:rPr>
  </w:style>
  <w:style w:type="paragraph" w:styleId="Header">
    <w:name w:val="header"/>
    <w:basedOn w:val="Normal"/>
    <w:link w:val="HeaderChar"/>
    <w:uiPriority w:val="99"/>
    <w:unhideWhenUsed/>
    <w:rsid w:val="00A937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7F2"/>
  </w:style>
  <w:style w:type="paragraph" w:styleId="Footer">
    <w:name w:val="footer"/>
    <w:basedOn w:val="Normal"/>
    <w:link w:val="FooterChar"/>
    <w:uiPriority w:val="99"/>
    <w:unhideWhenUsed/>
    <w:rsid w:val="00A937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7F2"/>
  </w:style>
  <w:style w:type="paragraph" w:styleId="Bibliography">
    <w:name w:val="Bibliography"/>
    <w:basedOn w:val="Normal"/>
    <w:next w:val="Normal"/>
    <w:uiPriority w:val="37"/>
    <w:unhideWhenUsed/>
    <w:rsid w:val="008925C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Kel15</b:Tag>
    <b:SourceType>JournalArticle</b:SourceType>
    <b:Guid>{69D32DC9-80E9-4F13-9214-AE45B94EEEAE}</b:Guid>
    <b:Author>
      <b:Author>
        <b:NameList>
          <b:Person>
            <b:Last>Kelleher</b:Last>
            <b:First>K.</b:First>
            <b:Middle>J., Cooper, J., Deans, K., Carr, P., Brilli, R. J., Allen, S., &amp; Gardner, W</b:Middle>
          </b:Person>
        </b:NameList>
      </b:Author>
    </b:Author>
    <b:Title>Cost saving and quality of care in a pediatric accountable care organization</b:Title>
    <b:Year>2015</b:Year>
    <b:Publisher>peds-2014</b:Publisher>
    <b:JournalName>Pediatrics</b:JournalName>
    <b:RefOrder>1</b:RefOrder>
  </b:Source>
  <b:Source>
    <b:Tag>Ber15</b:Tag>
    <b:SourceType>JournalArticle</b:SourceType>
    <b:Guid>{92E14479-6C70-4C6E-816E-42BA531B43A5}</b:Guid>
    <b:Author>
      <b:Author>
        <b:NameList>
          <b:Person>
            <b:Last>Berenson</b:Last>
            <b:First>R</b:First>
          </b:Person>
        </b:NameList>
      </b:Author>
    </b:Author>
    <b:Title>Addressing Pricing Power in Integrated Delivery: The Limits of Antitrust</b:Title>
    <b:JournalName>Journal of Health Politics, Policy and Law</b:JournalName>
    <b:Year>2015</b:Year>
    <b:Pages>711-744</b:Pages>
    <b:Volume>40</b:Volume>
    <b:Issue>4</b:Issue>
    <b:RefOrder>2</b:RefOrder>
  </b:Source>
  <b:Source>
    <b:Tag>Rob15</b:Tag>
    <b:SourceType>JournalArticle</b:SourceType>
    <b:Guid>{06ECE3AE-EFBC-493D-9061-0C213C85DCC2}</b:Guid>
    <b:Author>
      <b:Author>
        <b:NameList>
          <b:Person>
            <b:Last>Robertson</b:Last>
            <b:First>C.</b:First>
            <b:Middle>T</b:Middle>
          </b:Person>
        </b:NameList>
      </b:Author>
    </b:Author>
    <b:Title>Scaling Cost-Sharing to Wages: How Employers Can Reduce Health Spending and Provide Greater Economic Security</b:Title>
    <b:JournalName>Yale Journal of Health Policy, Law, and Ethics</b:JournalName>
    <b:Year>2015</b:Year>
    <b:Pages>1</b:Pages>
    <b:Volume>14</b:Volume>
    <b:Issue>2</b:Issue>
    <b:RefOrder>3</b:RefOrder>
  </b:Source>
  <b:Source>
    <b:Tag>Wil18</b:Tag>
    <b:SourceType>Book</b:SourceType>
    <b:Guid>{121943C2-46B6-4EF7-8778-4755EAAB1FF8}</b:Guid>
    <b:Author>
      <b:Author>
        <b:NameList>
          <b:Person>
            <b:Last>Wilson</b:Last>
            <b:First>J.</b:First>
            <b:Middle>Q., DiIulio Jr, J. J., Bose, M., &amp; Levendusky, M. S</b:Middle>
          </b:Person>
        </b:NameList>
      </b:Author>
    </b:Author>
    <b:Title>American government: Institutions and policies</b:Title>
    <b:Year>2018</b:Year>
    <b:Publisher>Cengage Learning</b:Publisher>
    <b:RefOrder>4</b:RefOrder>
  </b:Source>
</b:Sources>
</file>

<file path=customXml/itemProps1.xml><?xml version="1.0" encoding="utf-8"?>
<ds:datastoreItem xmlns:ds="http://schemas.openxmlformats.org/officeDocument/2006/customXml" ds:itemID="{E118272D-1C2B-4F3E-8062-115351439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dc:creator>
  <cp:lastModifiedBy>Evans</cp:lastModifiedBy>
  <cp:revision>8</cp:revision>
  <dcterms:created xsi:type="dcterms:W3CDTF">2018-09-22T16:42:00Z</dcterms:created>
  <dcterms:modified xsi:type="dcterms:W3CDTF">2018-09-23T15:06:00Z</dcterms:modified>
</cp:coreProperties>
</file>